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DD45" w14:textId="77777777" w:rsidR="00012C1B" w:rsidRPr="00012C1B" w:rsidRDefault="00012C1B" w:rsidP="00012C1B">
      <w:pPr>
        <w:spacing w:after="160" w:line="480" w:lineRule="auto"/>
        <w:rPr>
          <w:rFonts w:ascii="Garamond" w:eastAsia="Times New Roman" w:hAnsi="Garamond" w:cs="Times New Roman"/>
        </w:rPr>
      </w:pPr>
      <w:bookmarkStart w:id="0" w:name="_GoBack"/>
      <w:r w:rsidRPr="00012C1B">
        <w:rPr>
          <w:rFonts w:ascii="Garamond" w:eastAsia="Times New Roman" w:hAnsi="Garamond" w:cs="Times New Roman"/>
          <w:color w:val="163060"/>
          <w:sz w:val="28"/>
          <w:szCs w:val="28"/>
        </w:rPr>
        <w:t>On this page:</w:t>
      </w:r>
    </w:p>
    <w:p w14:paraId="552C6CCB" w14:textId="77777777" w:rsidR="00012C1B" w:rsidRPr="00012C1B" w:rsidRDefault="00012C1B" w:rsidP="00012C1B">
      <w:pPr>
        <w:spacing w:after="300"/>
        <w:rPr>
          <w:rFonts w:ascii="Garamond" w:eastAsia="Times New Roman" w:hAnsi="Garamond" w:cs="Times New Roman"/>
        </w:rPr>
      </w:pPr>
      <w:hyperlink r:id="rId5" w:anchor="officers" w:history="1">
        <w:r w:rsidRPr="00012C1B">
          <w:rPr>
            <w:rFonts w:ascii="Garamond" w:eastAsia="Times New Roman" w:hAnsi="Garamond" w:cs="Times New Roman"/>
            <w:color w:val="1155CC"/>
            <w:sz w:val="28"/>
            <w:szCs w:val="28"/>
          </w:rPr>
          <w:t>Officers</w:t>
        </w:r>
      </w:hyperlink>
    </w:p>
    <w:p w14:paraId="24568196" w14:textId="77777777" w:rsidR="00012C1B" w:rsidRPr="00012C1B" w:rsidRDefault="00012C1B" w:rsidP="00012C1B">
      <w:pPr>
        <w:spacing w:after="300"/>
        <w:rPr>
          <w:rFonts w:ascii="Garamond" w:eastAsia="Times New Roman" w:hAnsi="Garamond" w:cs="Times New Roman"/>
        </w:rPr>
      </w:pPr>
      <w:hyperlink r:id="rId6" w:anchor="bylaws" w:history="1">
        <w:r w:rsidRPr="00012C1B">
          <w:rPr>
            <w:rFonts w:ascii="Garamond" w:eastAsia="Times New Roman" w:hAnsi="Garamond" w:cs="Times New Roman"/>
            <w:color w:val="1155CC"/>
            <w:sz w:val="28"/>
            <w:szCs w:val="28"/>
          </w:rPr>
          <w:t xml:space="preserve">Constitution and Bylaws </w:t>
        </w:r>
      </w:hyperlink>
      <w:r w:rsidRPr="00012C1B">
        <w:rPr>
          <w:rFonts w:ascii="Garamond" w:eastAsia="Times New Roman" w:hAnsi="Garamond" w:cs="Times New Roman"/>
          <w:color w:val="163060"/>
          <w:sz w:val="28"/>
          <w:szCs w:val="28"/>
        </w:rPr>
        <w:t xml:space="preserve">or download a </w:t>
      </w:r>
      <w:hyperlink r:id="rId7" w:history="1">
        <w:r w:rsidRPr="00012C1B">
          <w:rPr>
            <w:rFonts w:ascii="Garamond" w:eastAsia="Times New Roman" w:hAnsi="Garamond" w:cs="Times New Roman"/>
            <w:color w:val="1155CC"/>
            <w:sz w:val="28"/>
            <w:szCs w:val="28"/>
          </w:rPr>
          <w:t>PDF version</w:t>
        </w:r>
      </w:hyperlink>
    </w:p>
    <w:p w14:paraId="25B6292A"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rPr>
        <w:t> </w:t>
      </w:r>
    </w:p>
    <w:p w14:paraId="585609A5" w14:textId="77777777" w:rsidR="00012C1B" w:rsidRPr="00012C1B" w:rsidRDefault="00012C1B" w:rsidP="00012C1B">
      <w:pPr>
        <w:shd w:val="clear" w:color="auto" w:fill="FFFFFF"/>
        <w:outlineLvl w:val="1"/>
        <w:rPr>
          <w:rFonts w:ascii="Garamond" w:eastAsia="Times New Roman" w:hAnsi="Garamond" w:cs="Times New Roman"/>
          <w:b/>
          <w:bCs/>
          <w:sz w:val="36"/>
          <w:szCs w:val="36"/>
        </w:rPr>
      </w:pPr>
      <w:r w:rsidRPr="00012C1B">
        <w:rPr>
          <w:rFonts w:ascii="Garamond" w:eastAsia="Times New Roman" w:hAnsi="Garamond" w:cs="Times New Roman"/>
          <w:b/>
          <w:bCs/>
          <w:color w:val="000000"/>
          <w:sz w:val="40"/>
          <w:szCs w:val="40"/>
        </w:rPr>
        <w:t>Officers</w:t>
      </w:r>
    </w:p>
    <w:p w14:paraId="77BCF387" w14:textId="77777777" w:rsidR="00012C1B" w:rsidRPr="00012C1B" w:rsidRDefault="00012C1B" w:rsidP="00012C1B">
      <w:pPr>
        <w:shd w:val="clear" w:color="auto" w:fill="FFFFFF"/>
        <w:jc w:val="both"/>
        <w:rPr>
          <w:rFonts w:ascii="Garamond" w:eastAsia="Times New Roman" w:hAnsi="Garamond" w:cs="Times New Roman"/>
        </w:rPr>
      </w:pPr>
      <w:r w:rsidRPr="00012C1B">
        <w:rPr>
          <w:rFonts w:ascii="Garamond" w:eastAsia="Times New Roman" w:hAnsi="Garamond" w:cs="Times New Roman"/>
          <w:color w:val="163060"/>
          <w:sz w:val="28"/>
          <w:szCs w:val="28"/>
        </w:rPr>
        <w:t>In order to protect the privacy of the officers, detailed contact information may only be viewed by our members on the </w:t>
      </w:r>
      <w:hyperlink r:id="rId8" w:history="1">
        <w:r w:rsidRPr="00012C1B">
          <w:rPr>
            <w:rFonts w:ascii="Garamond" w:eastAsia="Times New Roman" w:hAnsi="Garamond" w:cs="Times New Roman"/>
            <w:color w:val="0000FF"/>
            <w:sz w:val="28"/>
            <w:szCs w:val="28"/>
            <w:u w:val="single"/>
          </w:rPr>
          <w:t>Membership list</w:t>
        </w:r>
      </w:hyperlink>
      <w:r w:rsidRPr="00012C1B">
        <w:rPr>
          <w:rFonts w:ascii="Garamond" w:eastAsia="Times New Roman" w:hAnsi="Garamond" w:cs="Times New Roman"/>
          <w:color w:val="163060"/>
          <w:sz w:val="28"/>
          <w:szCs w:val="28"/>
        </w:rPr>
        <w:t>. All members of the Executive Committee may be contacted directly by both non-members and members by clicking on the contact link in the list below.</w:t>
      </w:r>
    </w:p>
    <w:p w14:paraId="26D77429"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Founder</w:t>
      </w:r>
    </w:p>
    <w:p w14:paraId="329014F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Francis Assaf </w:t>
      </w:r>
      <w:hyperlink r:id="rId9" w:history="1">
        <w:r w:rsidRPr="00012C1B">
          <w:rPr>
            <w:rFonts w:ascii="Garamond" w:eastAsia="Times New Roman" w:hAnsi="Garamond" w:cs="Times New Roman"/>
            <w:i/>
            <w:iCs/>
            <w:color w:val="0000FF"/>
            <w:sz w:val="28"/>
            <w:szCs w:val="28"/>
            <w:u w:val="single"/>
          </w:rPr>
          <w:t>Contact</w:t>
        </w:r>
      </w:hyperlink>
    </w:p>
    <w:p w14:paraId="5C806FC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Romance Languages</w:t>
      </w:r>
    </w:p>
    <w:p w14:paraId="464C829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Georgia</w:t>
      </w:r>
    </w:p>
    <w:p w14:paraId="003B23F8"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rPr>
        <w:t> </w:t>
      </w:r>
    </w:p>
    <w:p w14:paraId="77DF8249"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Co-Presidents </w:t>
      </w:r>
      <w:hyperlink r:id="rId10" w:history="1">
        <w:r w:rsidRPr="00012C1B">
          <w:rPr>
            <w:rFonts w:ascii="Garamond" w:eastAsia="Times New Roman" w:hAnsi="Garamond" w:cs="Times New Roman"/>
            <w:b/>
            <w:bCs/>
            <w:i/>
            <w:iCs/>
            <w:color w:val="0000FF"/>
            <w:sz w:val="28"/>
            <w:szCs w:val="28"/>
            <w:u w:val="single"/>
          </w:rPr>
          <w:t>Contact</w:t>
        </w:r>
      </w:hyperlink>
    </w:p>
    <w:p w14:paraId="54961644"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Juliette </w:t>
      </w:r>
      <w:proofErr w:type="spellStart"/>
      <w:r w:rsidRPr="00012C1B">
        <w:rPr>
          <w:rFonts w:ascii="Garamond" w:eastAsia="Times New Roman" w:hAnsi="Garamond" w:cs="Times New Roman"/>
          <w:color w:val="163060"/>
          <w:sz w:val="28"/>
          <w:szCs w:val="28"/>
        </w:rPr>
        <w:t>Cherbuliez</w:t>
      </w:r>
      <w:proofErr w:type="spellEnd"/>
    </w:p>
    <w:p w14:paraId="1CE11E9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French and Italian</w:t>
      </w:r>
    </w:p>
    <w:p w14:paraId="035EA826"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Minnesota</w:t>
      </w:r>
    </w:p>
    <w:p w14:paraId="61657CDD"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AND</w:t>
      </w:r>
    </w:p>
    <w:p w14:paraId="0D7419EF"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Toby Erik </w:t>
      </w:r>
      <w:proofErr w:type="spellStart"/>
      <w:r w:rsidRPr="00012C1B">
        <w:rPr>
          <w:rFonts w:ascii="Garamond" w:eastAsia="Times New Roman" w:hAnsi="Garamond" w:cs="Times New Roman"/>
          <w:color w:val="163060"/>
          <w:sz w:val="28"/>
          <w:szCs w:val="28"/>
        </w:rPr>
        <w:t>Wikström</w:t>
      </w:r>
      <w:proofErr w:type="spellEnd"/>
    </w:p>
    <w:p w14:paraId="3A138BA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Graduate School</w:t>
      </w:r>
    </w:p>
    <w:p w14:paraId="1AE1C82F"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Iceland</w:t>
      </w:r>
    </w:p>
    <w:p w14:paraId="62C97B3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rPr>
        <w:t> </w:t>
      </w:r>
    </w:p>
    <w:p w14:paraId="66895D33"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Past Presidents</w:t>
      </w:r>
      <w:r w:rsidRPr="00012C1B">
        <w:rPr>
          <w:rFonts w:ascii="Garamond" w:eastAsia="Times New Roman" w:hAnsi="Garamond" w:cs="Times New Roman"/>
          <w:color w:val="163060"/>
          <w:sz w:val="28"/>
          <w:szCs w:val="28"/>
        </w:rPr>
        <w:t> </w:t>
      </w:r>
      <w:hyperlink r:id="rId11" w:history="1">
        <w:r w:rsidRPr="00012C1B">
          <w:rPr>
            <w:rFonts w:ascii="Garamond" w:eastAsia="Times New Roman" w:hAnsi="Garamond" w:cs="Times New Roman"/>
            <w:i/>
            <w:iCs/>
            <w:color w:val="0000FF"/>
            <w:sz w:val="28"/>
            <w:szCs w:val="28"/>
            <w:u w:val="single"/>
          </w:rPr>
          <w:t>Contact</w:t>
        </w:r>
      </w:hyperlink>
    </w:p>
    <w:p w14:paraId="3EC95467"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color w:val="163060"/>
          <w:sz w:val="28"/>
          <w:szCs w:val="28"/>
        </w:rPr>
        <w:tab/>
        <w:t xml:space="preserve">Anne </w:t>
      </w:r>
      <w:proofErr w:type="spellStart"/>
      <w:r w:rsidRPr="00012C1B">
        <w:rPr>
          <w:rFonts w:ascii="Garamond" w:eastAsia="Times New Roman" w:hAnsi="Garamond" w:cs="Times New Roman"/>
          <w:color w:val="163060"/>
          <w:sz w:val="28"/>
          <w:szCs w:val="28"/>
        </w:rPr>
        <w:t>Duprat</w:t>
      </w:r>
      <w:proofErr w:type="spellEnd"/>
    </w:p>
    <w:p w14:paraId="4CB7DC51"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color w:val="163060"/>
          <w:sz w:val="28"/>
          <w:szCs w:val="28"/>
        </w:rPr>
        <w:tab/>
      </w:r>
      <w:proofErr w:type="spellStart"/>
      <w:r w:rsidRPr="00012C1B">
        <w:rPr>
          <w:rFonts w:ascii="Garamond" w:eastAsia="Times New Roman" w:hAnsi="Garamond" w:cs="Times New Roman"/>
          <w:color w:val="163060"/>
          <w:sz w:val="28"/>
          <w:szCs w:val="28"/>
        </w:rPr>
        <w:t>Lettres</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modernes</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Littérature</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comparée</w:t>
      </w:r>
      <w:proofErr w:type="spellEnd"/>
    </w:p>
    <w:p w14:paraId="448BF4A7"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color w:val="163060"/>
          <w:sz w:val="28"/>
          <w:szCs w:val="28"/>
        </w:rPr>
        <w:tab/>
      </w:r>
      <w:proofErr w:type="spellStart"/>
      <w:r w:rsidRPr="00012C1B">
        <w:rPr>
          <w:rFonts w:ascii="Garamond" w:eastAsia="Times New Roman" w:hAnsi="Garamond" w:cs="Times New Roman"/>
          <w:color w:val="163060"/>
          <w:sz w:val="28"/>
          <w:szCs w:val="28"/>
        </w:rPr>
        <w:t>Université</w:t>
      </w:r>
      <w:proofErr w:type="spellEnd"/>
      <w:r w:rsidRPr="00012C1B">
        <w:rPr>
          <w:rFonts w:ascii="Garamond" w:eastAsia="Times New Roman" w:hAnsi="Garamond" w:cs="Times New Roman"/>
          <w:color w:val="163060"/>
          <w:sz w:val="28"/>
          <w:szCs w:val="28"/>
        </w:rPr>
        <w:t xml:space="preserve"> de Picardie-Jules Verne/</w:t>
      </w:r>
      <w:proofErr w:type="spellStart"/>
      <w:r w:rsidRPr="00012C1B">
        <w:rPr>
          <w:rFonts w:ascii="Garamond" w:eastAsia="Times New Roman" w:hAnsi="Garamond" w:cs="Times New Roman"/>
          <w:color w:val="163060"/>
          <w:sz w:val="28"/>
          <w:szCs w:val="28"/>
        </w:rPr>
        <w:t>Institut</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Universitaire</w:t>
      </w:r>
      <w:proofErr w:type="spellEnd"/>
      <w:r w:rsidRPr="00012C1B">
        <w:rPr>
          <w:rFonts w:ascii="Garamond" w:eastAsia="Times New Roman" w:hAnsi="Garamond" w:cs="Times New Roman"/>
          <w:color w:val="163060"/>
          <w:sz w:val="28"/>
          <w:szCs w:val="28"/>
        </w:rPr>
        <w:t xml:space="preserve"> de France</w:t>
      </w:r>
    </w:p>
    <w:p w14:paraId="483593B8" w14:textId="77777777" w:rsidR="00012C1B" w:rsidRPr="00012C1B" w:rsidRDefault="00012C1B" w:rsidP="00012C1B">
      <w:pPr>
        <w:shd w:val="clear" w:color="auto" w:fill="FFFFFF"/>
        <w:ind w:firstLine="720"/>
        <w:rPr>
          <w:rFonts w:ascii="Garamond" w:eastAsia="Times New Roman" w:hAnsi="Garamond" w:cs="Times New Roman"/>
        </w:rPr>
      </w:pPr>
      <w:r w:rsidRPr="00012C1B">
        <w:rPr>
          <w:rFonts w:ascii="Garamond" w:eastAsia="Times New Roman" w:hAnsi="Garamond" w:cs="Times New Roman"/>
          <w:color w:val="163060"/>
          <w:sz w:val="28"/>
          <w:szCs w:val="28"/>
        </w:rPr>
        <w:t>AND</w:t>
      </w:r>
    </w:p>
    <w:p w14:paraId="4A70C6A5"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Charlotte </w:t>
      </w:r>
      <w:proofErr w:type="spellStart"/>
      <w:r w:rsidRPr="00012C1B">
        <w:rPr>
          <w:rFonts w:ascii="Garamond" w:eastAsia="Times New Roman" w:hAnsi="Garamond" w:cs="Times New Roman"/>
          <w:color w:val="163060"/>
          <w:sz w:val="28"/>
          <w:szCs w:val="28"/>
        </w:rPr>
        <w:t>Trinquet</w:t>
      </w:r>
      <w:proofErr w:type="spellEnd"/>
      <w:r w:rsidRPr="00012C1B">
        <w:rPr>
          <w:rFonts w:ascii="Garamond" w:eastAsia="Times New Roman" w:hAnsi="Garamond" w:cs="Times New Roman"/>
          <w:color w:val="163060"/>
          <w:sz w:val="28"/>
          <w:szCs w:val="28"/>
        </w:rPr>
        <w:t xml:space="preserve"> du Lys</w:t>
      </w:r>
    </w:p>
    <w:p w14:paraId="638188BF"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Departement</w:t>
      </w:r>
      <w:proofErr w:type="spellEnd"/>
      <w:r w:rsidRPr="00012C1B">
        <w:rPr>
          <w:rFonts w:ascii="Garamond" w:eastAsia="Times New Roman" w:hAnsi="Garamond" w:cs="Times New Roman"/>
          <w:color w:val="163060"/>
          <w:sz w:val="28"/>
          <w:szCs w:val="28"/>
        </w:rPr>
        <w:t xml:space="preserve"> of Modern Languages and Literatures</w:t>
      </w:r>
    </w:p>
    <w:p w14:paraId="7B67FB4C"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Central Florida</w:t>
      </w:r>
    </w:p>
    <w:p w14:paraId="5F2092BC"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rPr>
        <w:t> </w:t>
      </w:r>
    </w:p>
    <w:p w14:paraId="7FAA2783"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Executive Director </w:t>
      </w:r>
      <w:hyperlink r:id="rId12" w:history="1">
        <w:r w:rsidRPr="00012C1B">
          <w:rPr>
            <w:rFonts w:ascii="Garamond" w:eastAsia="Times New Roman" w:hAnsi="Garamond" w:cs="Times New Roman"/>
            <w:b/>
            <w:bCs/>
            <w:i/>
            <w:iCs/>
            <w:color w:val="0000FF"/>
            <w:sz w:val="28"/>
            <w:szCs w:val="28"/>
            <w:u w:val="single"/>
          </w:rPr>
          <w:t>Contact</w:t>
        </w:r>
      </w:hyperlink>
    </w:p>
    <w:p w14:paraId="3DBAB80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Katherine Dauge-Roth</w:t>
      </w:r>
    </w:p>
    <w:p w14:paraId="3F331D64"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Romance Languages and Literatures</w:t>
      </w:r>
    </w:p>
    <w:p w14:paraId="26FB634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Bowdoin College</w:t>
      </w:r>
    </w:p>
    <w:p w14:paraId="151CDF2F"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Treasurer </w:t>
      </w:r>
      <w:hyperlink r:id="rId13" w:history="1">
        <w:r w:rsidRPr="00012C1B">
          <w:rPr>
            <w:rFonts w:ascii="Garamond" w:eastAsia="Times New Roman" w:hAnsi="Garamond" w:cs="Times New Roman"/>
            <w:b/>
            <w:bCs/>
            <w:i/>
            <w:iCs/>
            <w:color w:val="0000FF"/>
            <w:sz w:val="28"/>
            <w:szCs w:val="28"/>
            <w:u w:val="single"/>
          </w:rPr>
          <w:t>Contact</w:t>
        </w:r>
      </w:hyperlink>
    </w:p>
    <w:p w14:paraId="0FAAC4A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Deborah Steinberger</w:t>
      </w:r>
    </w:p>
    <w:p w14:paraId="2545EA98"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Languages, Literatures and Cultures</w:t>
      </w:r>
    </w:p>
    <w:p w14:paraId="0645931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Delaware</w:t>
      </w:r>
    </w:p>
    <w:p w14:paraId="362903AB"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Secretary </w:t>
      </w:r>
      <w:hyperlink r:id="rId14" w:history="1">
        <w:r w:rsidRPr="00012C1B">
          <w:rPr>
            <w:rFonts w:ascii="Garamond" w:eastAsia="Times New Roman" w:hAnsi="Garamond" w:cs="Times New Roman"/>
            <w:b/>
            <w:bCs/>
            <w:i/>
            <w:iCs/>
            <w:color w:val="0000FF"/>
            <w:sz w:val="28"/>
            <w:szCs w:val="28"/>
            <w:u w:val="single"/>
          </w:rPr>
          <w:t>Contact</w:t>
        </w:r>
      </w:hyperlink>
    </w:p>
    <w:p w14:paraId="5E7E8BF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Stella </w:t>
      </w:r>
      <w:proofErr w:type="spellStart"/>
      <w:r w:rsidRPr="00012C1B">
        <w:rPr>
          <w:rFonts w:ascii="Garamond" w:eastAsia="Times New Roman" w:hAnsi="Garamond" w:cs="Times New Roman"/>
          <w:color w:val="163060"/>
          <w:sz w:val="28"/>
          <w:szCs w:val="28"/>
        </w:rPr>
        <w:t>Spriet</w:t>
      </w:r>
      <w:proofErr w:type="spellEnd"/>
    </w:p>
    <w:p w14:paraId="37CB67B4"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Languages and Literature and Cultural Studies</w:t>
      </w:r>
    </w:p>
    <w:p w14:paraId="1156455A"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Saskatchewan</w:t>
      </w:r>
    </w:p>
    <w:p w14:paraId="35AF42D2"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Communications Officer </w:t>
      </w:r>
      <w:hyperlink r:id="rId15" w:history="1">
        <w:r w:rsidRPr="00012C1B">
          <w:rPr>
            <w:rFonts w:ascii="Garamond" w:eastAsia="Times New Roman" w:hAnsi="Garamond" w:cs="Times New Roman"/>
            <w:b/>
            <w:bCs/>
            <w:i/>
            <w:iCs/>
            <w:color w:val="0000FF"/>
            <w:sz w:val="28"/>
            <w:szCs w:val="28"/>
            <w:u w:val="single"/>
          </w:rPr>
          <w:t>Contact</w:t>
        </w:r>
      </w:hyperlink>
    </w:p>
    <w:p w14:paraId="1FA343D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Emma Gauthier-</w:t>
      </w:r>
      <w:proofErr w:type="spellStart"/>
      <w:r w:rsidRPr="00012C1B">
        <w:rPr>
          <w:rFonts w:ascii="Garamond" w:eastAsia="Times New Roman" w:hAnsi="Garamond" w:cs="Times New Roman"/>
          <w:color w:val="163060"/>
          <w:sz w:val="28"/>
          <w:szCs w:val="28"/>
        </w:rPr>
        <w:t>Mamaril</w:t>
      </w:r>
      <w:proofErr w:type="spellEnd"/>
    </w:p>
    <w:p w14:paraId="556D4E04"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Département</w:t>
      </w:r>
      <w:proofErr w:type="spellEnd"/>
      <w:r w:rsidRPr="00012C1B">
        <w:rPr>
          <w:rFonts w:ascii="Garamond" w:eastAsia="Times New Roman" w:hAnsi="Garamond" w:cs="Times New Roman"/>
          <w:color w:val="163060"/>
          <w:sz w:val="28"/>
          <w:szCs w:val="28"/>
        </w:rPr>
        <w:t xml:space="preserve"> des </w:t>
      </w:r>
      <w:proofErr w:type="spellStart"/>
      <w:r w:rsidRPr="00012C1B">
        <w:rPr>
          <w:rFonts w:ascii="Garamond" w:eastAsia="Times New Roman" w:hAnsi="Garamond" w:cs="Times New Roman"/>
          <w:color w:val="163060"/>
          <w:sz w:val="28"/>
          <w:szCs w:val="28"/>
        </w:rPr>
        <w:t>littératures</w:t>
      </w:r>
      <w:proofErr w:type="spellEnd"/>
      <w:r w:rsidRPr="00012C1B">
        <w:rPr>
          <w:rFonts w:ascii="Garamond" w:eastAsia="Times New Roman" w:hAnsi="Garamond" w:cs="Times New Roman"/>
          <w:color w:val="163060"/>
          <w:sz w:val="28"/>
          <w:szCs w:val="28"/>
        </w:rPr>
        <w:t xml:space="preserve"> de langue </w:t>
      </w:r>
      <w:proofErr w:type="spellStart"/>
      <w:r w:rsidRPr="00012C1B">
        <w:rPr>
          <w:rFonts w:ascii="Garamond" w:eastAsia="Times New Roman" w:hAnsi="Garamond" w:cs="Times New Roman"/>
          <w:color w:val="163060"/>
          <w:sz w:val="28"/>
          <w:szCs w:val="28"/>
        </w:rPr>
        <w:t>française</w:t>
      </w:r>
      <w:proofErr w:type="spellEnd"/>
    </w:p>
    <w:p w14:paraId="5D56C5EB"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Université</w:t>
      </w:r>
      <w:proofErr w:type="spellEnd"/>
      <w:r w:rsidRPr="00012C1B">
        <w:rPr>
          <w:rFonts w:ascii="Garamond" w:eastAsia="Times New Roman" w:hAnsi="Garamond" w:cs="Times New Roman"/>
          <w:color w:val="163060"/>
          <w:sz w:val="28"/>
          <w:szCs w:val="28"/>
        </w:rPr>
        <w:t xml:space="preserve"> de Montréal</w:t>
      </w:r>
    </w:p>
    <w:p w14:paraId="64F3B9BC"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Cahiers Editor </w:t>
      </w:r>
      <w:hyperlink r:id="rId16" w:history="1">
        <w:r w:rsidRPr="00012C1B">
          <w:rPr>
            <w:rFonts w:ascii="Garamond" w:eastAsia="Times New Roman" w:hAnsi="Garamond" w:cs="Times New Roman"/>
            <w:b/>
            <w:bCs/>
            <w:i/>
            <w:iCs/>
            <w:color w:val="0000FF"/>
            <w:sz w:val="28"/>
            <w:szCs w:val="28"/>
            <w:u w:val="single"/>
          </w:rPr>
          <w:t>Contact</w:t>
        </w:r>
      </w:hyperlink>
    </w:p>
    <w:p w14:paraId="75295AAE"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Jean-Vincent Blanchard</w:t>
      </w:r>
    </w:p>
    <w:p w14:paraId="4E88A8F1"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French and Francophone Studies</w:t>
      </w:r>
    </w:p>
    <w:p w14:paraId="6BC5F665"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Swarthmore College</w:t>
      </w:r>
    </w:p>
    <w:p w14:paraId="248A8085"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Website Co-Editors </w:t>
      </w:r>
      <w:hyperlink r:id="rId17" w:history="1">
        <w:r w:rsidRPr="00012C1B">
          <w:rPr>
            <w:rFonts w:ascii="Garamond" w:eastAsia="Times New Roman" w:hAnsi="Garamond" w:cs="Times New Roman"/>
            <w:b/>
            <w:bCs/>
            <w:i/>
            <w:iCs/>
            <w:color w:val="0000FF"/>
            <w:sz w:val="28"/>
            <w:szCs w:val="28"/>
            <w:u w:val="single"/>
          </w:rPr>
          <w:t>Contact</w:t>
        </w:r>
      </w:hyperlink>
    </w:p>
    <w:p w14:paraId="707143A8"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Kathrina</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LaPorta</w:t>
      </w:r>
      <w:proofErr w:type="spellEnd"/>
    </w:p>
    <w:p w14:paraId="443D7FF6"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French Literature, Thought &amp; Culture</w:t>
      </w:r>
    </w:p>
    <w:p w14:paraId="0662EAFE"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New York University </w:t>
      </w:r>
    </w:p>
    <w:p w14:paraId="1BDDD7F6"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 xml:space="preserve">            </w:t>
      </w:r>
      <w:r w:rsidRPr="00012C1B">
        <w:rPr>
          <w:rFonts w:ascii="Garamond" w:eastAsia="Times New Roman" w:hAnsi="Garamond" w:cs="Times New Roman"/>
          <w:color w:val="163060"/>
          <w:sz w:val="28"/>
          <w:szCs w:val="28"/>
        </w:rPr>
        <w:t>AND</w:t>
      </w:r>
    </w:p>
    <w:p w14:paraId="28B2A8FF"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Christophe </w:t>
      </w:r>
      <w:proofErr w:type="spellStart"/>
      <w:r w:rsidRPr="00012C1B">
        <w:rPr>
          <w:rFonts w:ascii="Garamond" w:eastAsia="Times New Roman" w:hAnsi="Garamond" w:cs="Times New Roman"/>
          <w:color w:val="163060"/>
          <w:sz w:val="28"/>
          <w:szCs w:val="28"/>
        </w:rPr>
        <w:t>Schuwey</w:t>
      </w:r>
      <w:proofErr w:type="spellEnd"/>
    </w:p>
    <w:p w14:paraId="690A140E"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Littérature</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française</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Histoire</w:t>
      </w:r>
      <w:proofErr w:type="spellEnd"/>
      <w:r w:rsidRPr="00012C1B">
        <w:rPr>
          <w:rFonts w:ascii="Garamond" w:eastAsia="Times New Roman" w:hAnsi="Garamond" w:cs="Times New Roman"/>
          <w:color w:val="163060"/>
          <w:sz w:val="28"/>
          <w:szCs w:val="28"/>
        </w:rPr>
        <w:t xml:space="preserve"> du livre, Digital Humanities</w:t>
      </w:r>
    </w:p>
    <w:p w14:paraId="42B0399F"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u w:val="single"/>
        </w:rPr>
        <w:t>Université</w:t>
      </w:r>
      <w:proofErr w:type="spellEnd"/>
      <w:r w:rsidRPr="00012C1B">
        <w:rPr>
          <w:rFonts w:ascii="Garamond" w:eastAsia="Times New Roman" w:hAnsi="Garamond" w:cs="Times New Roman"/>
          <w:color w:val="163060"/>
          <w:sz w:val="28"/>
          <w:szCs w:val="28"/>
          <w:u w:val="single"/>
        </w:rPr>
        <w:t xml:space="preserve"> Bretagne Sud</w:t>
      </w:r>
    </w:p>
    <w:p w14:paraId="7D9F6F1C"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Bibliographer </w:t>
      </w:r>
      <w:hyperlink r:id="rId18" w:history="1">
        <w:r w:rsidRPr="00012C1B">
          <w:rPr>
            <w:rFonts w:ascii="Garamond" w:eastAsia="Times New Roman" w:hAnsi="Garamond" w:cs="Times New Roman"/>
            <w:b/>
            <w:bCs/>
            <w:i/>
            <w:iCs/>
            <w:color w:val="0000FF"/>
            <w:sz w:val="28"/>
            <w:szCs w:val="28"/>
            <w:u w:val="single"/>
          </w:rPr>
          <w:t>Contact</w:t>
        </w:r>
      </w:hyperlink>
    </w:p>
    <w:p w14:paraId="68768A05"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Bertrand Landry</w:t>
      </w:r>
    </w:p>
    <w:p w14:paraId="2699BD9B"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Foreign Languages and Cultures</w:t>
      </w:r>
    </w:p>
    <w:p w14:paraId="730BAA56"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Mount Union</w:t>
      </w:r>
    </w:p>
    <w:p w14:paraId="2192ACF1"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Prize Committee Chair </w:t>
      </w:r>
      <w:hyperlink r:id="rId19" w:history="1">
        <w:r w:rsidRPr="00012C1B">
          <w:rPr>
            <w:rFonts w:ascii="Garamond" w:eastAsia="Times New Roman" w:hAnsi="Garamond" w:cs="Times New Roman"/>
            <w:b/>
            <w:bCs/>
            <w:i/>
            <w:iCs/>
            <w:color w:val="0000FF"/>
            <w:sz w:val="28"/>
            <w:szCs w:val="28"/>
            <w:u w:val="single"/>
          </w:rPr>
          <w:t>Contact</w:t>
        </w:r>
      </w:hyperlink>
    </w:p>
    <w:p w14:paraId="13014B3B"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Abby </w:t>
      </w:r>
      <w:proofErr w:type="spellStart"/>
      <w:r w:rsidRPr="00012C1B">
        <w:rPr>
          <w:rFonts w:ascii="Garamond" w:eastAsia="Times New Roman" w:hAnsi="Garamond" w:cs="Times New Roman"/>
          <w:color w:val="163060"/>
          <w:sz w:val="28"/>
          <w:szCs w:val="28"/>
        </w:rPr>
        <w:t>Zanger</w:t>
      </w:r>
      <w:proofErr w:type="spellEnd"/>
    </w:p>
    <w:p w14:paraId="33AFDA52"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Independent Scholar</w:t>
      </w:r>
    </w:p>
    <w:p w14:paraId="7C5744FE"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w:t>
      </w:r>
    </w:p>
    <w:p w14:paraId="3AFEAFDF"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57ADD18E"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Heather Kirk (term 01/2020 to 12/2022) </w:t>
      </w:r>
      <w:hyperlink r:id="rId20" w:history="1">
        <w:r w:rsidRPr="00012C1B">
          <w:rPr>
            <w:rFonts w:ascii="Garamond" w:eastAsia="Times New Roman" w:hAnsi="Garamond" w:cs="Times New Roman"/>
            <w:i/>
            <w:iCs/>
            <w:color w:val="0000FF"/>
            <w:sz w:val="28"/>
            <w:szCs w:val="28"/>
            <w:u w:val="single"/>
          </w:rPr>
          <w:t>Contact</w:t>
        </w:r>
      </w:hyperlink>
    </w:p>
    <w:p w14:paraId="424D22BB"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French Literatures and Cultures</w:t>
      </w:r>
    </w:p>
    <w:p w14:paraId="243A3A39"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Brescia University College</w:t>
      </w:r>
    </w:p>
    <w:p w14:paraId="68D871D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w:t>
      </w:r>
    </w:p>
    <w:p w14:paraId="529392AE"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026EEDB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Anna </w:t>
      </w:r>
      <w:proofErr w:type="spellStart"/>
      <w:r w:rsidRPr="00012C1B">
        <w:rPr>
          <w:rFonts w:ascii="Garamond" w:eastAsia="Times New Roman" w:hAnsi="Garamond" w:cs="Times New Roman"/>
          <w:color w:val="163060"/>
          <w:sz w:val="28"/>
          <w:szCs w:val="28"/>
        </w:rPr>
        <w:t>Rosensweig</w:t>
      </w:r>
      <w:proofErr w:type="spellEnd"/>
      <w:r w:rsidRPr="00012C1B">
        <w:rPr>
          <w:rFonts w:ascii="Garamond" w:eastAsia="Times New Roman" w:hAnsi="Garamond" w:cs="Times New Roman"/>
          <w:color w:val="163060"/>
          <w:sz w:val="28"/>
          <w:szCs w:val="28"/>
        </w:rPr>
        <w:t xml:space="preserve"> (term 01/2020 to 12/2022) </w:t>
      </w:r>
      <w:hyperlink r:id="rId21" w:history="1">
        <w:r w:rsidRPr="00012C1B">
          <w:rPr>
            <w:rFonts w:ascii="Garamond" w:eastAsia="Times New Roman" w:hAnsi="Garamond" w:cs="Times New Roman"/>
            <w:i/>
            <w:iCs/>
            <w:color w:val="0000FF"/>
            <w:sz w:val="28"/>
            <w:szCs w:val="28"/>
            <w:u w:val="single"/>
          </w:rPr>
          <w:t>Contact</w:t>
        </w:r>
      </w:hyperlink>
    </w:p>
    <w:p w14:paraId="74A12F8F"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Modern Languages and Cultures</w:t>
      </w:r>
    </w:p>
    <w:p w14:paraId="66AA6AC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University of Rochester</w:t>
      </w:r>
    </w:p>
    <w:p w14:paraId="32CE2496"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rPr>
        <w:t> </w:t>
      </w:r>
    </w:p>
    <w:p w14:paraId="295E6A5B"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2622F310"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Therese Banks (term 01/2021 to 12/2023)</w:t>
      </w:r>
    </w:p>
    <w:p w14:paraId="25D363A9"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Romance Languages and Literatures</w:t>
      </w:r>
    </w:p>
    <w:p w14:paraId="39A322BC"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Harvard University</w:t>
      </w:r>
    </w:p>
    <w:p w14:paraId="4278660E"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rPr>
        <w:t> </w:t>
      </w:r>
    </w:p>
    <w:p w14:paraId="1FF0062C"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56298CB7" w14:textId="77777777" w:rsidR="00012C1B" w:rsidRPr="00012C1B" w:rsidRDefault="00012C1B" w:rsidP="00012C1B">
      <w:pPr>
        <w:shd w:val="clear" w:color="auto" w:fill="FFFFFF"/>
        <w:ind w:left="720"/>
        <w:rPr>
          <w:rFonts w:ascii="Garamond" w:eastAsia="Times New Roman" w:hAnsi="Garamond" w:cs="Times New Roman"/>
        </w:rPr>
      </w:pPr>
      <w:proofErr w:type="spellStart"/>
      <w:r w:rsidRPr="00012C1B">
        <w:rPr>
          <w:rFonts w:ascii="Garamond" w:eastAsia="Times New Roman" w:hAnsi="Garamond" w:cs="Times New Roman"/>
          <w:color w:val="163060"/>
          <w:sz w:val="28"/>
          <w:szCs w:val="28"/>
        </w:rPr>
        <w:t>Sylvaine</w:t>
      </w:r>
      <w:proofErr w:type="spellEnd"/>
      <w:r w:rsidRPr="00012C1B">
        <w:rPr>
          <w:rFonts w:ascii="Garamond" w:eastAsia="Times New Roman" w:hAnsi="Garamond" w:cs="Times New Roman"/>
          <w:color w:val="163060"/>
          <w:sz w:val="28"/>
          <w:szCs w:val="28"/>
        </w:rPr>
        <w:t xml:space="preserve"> Guyot (special term 01/2022 to 12/2023)</w:t>
      </w:r>
    </w:p>
    <w:p w14:paraId="1308344E"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Romance Languages and Literatures</w:t>
      </w:r>
    </w:p>
    <w:p w14:paraId="3CCB566C"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Harvard University</w:t>
      </w:r>
    </w:p>
    <w:p w14:paraId="5FBF4F04"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rPr>
        <w:t> </w:t>
      </w:r>
    </w:p>
    <w:p w14:paraId="494727DE"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49D13A34"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 xml:space="preserve">Valentine </w:t>
      </w:r>
      <w:proofErr w:type="spellStart"/>
      <w:r w:rsidRPr="00012C1B">
        <w:rPr>
          <w:rFonts w:ascii="Garamond" w:eastAsia="Times New Roman" w:hAnsi="Garamond" w:cs="Times New Roman"/>
          <w:color w:val="163060"/>
          <w:sz w:val="28"/>
          <w:szCs w:val="28"/>
        </w:rPr>
        <w:t>Balguerie</w:t>
      </w:r>
      <w:proofErr w:type="spellEnd"/>
      <w:r w:rsidRPr="00012C1B">
        <w:rPr>
          <w:rFonts w:ascii="Garamond" w:eastAsia="Times New Roman" w:hAnsi="Garamond" w:cs="Times New Roman"/>
          <w:color w:val="163060"/>
          <w:sz w:val="28"/>
          <w:szCs w:val="28"/>
        </w:rPr>
        <w:t xml:space="preserve"> (term 01/2022 to 12/2024) </w:t>
      </w:r>
      <w:hyperlink r:id="rId22" w:history="1">
        <w:r w:rsidRPr="00012C1B">
          <w:rPr>
            <w:rFonts w:ascii="Garamond" w:eastAsia="Times New Roman" w:hAnsi="Garamond" w:cs="Times New Roman"/>
            <w:i/>
            <w:iCs/>
            <w:color w:val="0000FF"/>
            <w:sz w:val="28"/>
            <w:szCs w:val="28"/>
            <w:u w:val="single"/>
          </w:rPr>
          <w:t>Contact</w:t>
        </w:r>
      </w:hyperlink>
    </w:p>
    <w:p w14:paraId="7AB2AC76"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Modern Languages</w:t>
      </w:r>
    </w:p>
    <w:p w14:paraId="338F275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Randolph-Macon College</w:t>
      </w:r>
    </w:p>
    <w:p w14:paraId="15E469C1"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rPr>
        <w:t> </w:t>
      </w:r>
    </w:p>
    <w:p w14:paraId="76B9D957"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b/>
          <w:bCs/>
          <w:color w:val="163060"/>
          <w:sz w:val="28"/>
          <w:szCs w:val="28"/>
        </w:rPr>
        <w:t>Member-at-large</w:t>
      </w:r>
    </w:p>
    <w:p w14:paraId="52D3E2B4"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Daniel Worden (term 01/2022 to 12/2024) </w:t>
      </w:r>
      <w:hyperlink r:id="rId23" w:history="1">
        <w:r w:rsidRPr="00012C1B">
          <w:rPr>
            <w:rFonts w:ascii="Garamond" w:eastAsia="Times New Roman" w:hAnsi="Garamond" w:cs="Times New Roman"/>
            <w:i/>
            <w:iCs/>
            <w:color w:val="0000FF"/>
            <w:sz w:val="28"/>
            <w:szCs w:val="28"/>
            <w:u w:val="single"/>
          </w:rPr>
          <w:t>Contact</w:t>
        </w:r>
      </w:hyperlink>
    </w:p>
    <w:p w14:paraId="25ACF639"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Department of Modern Languages and Literatures</w:t>
      </w:r>
    </w:p>
    <w:p w14:paraId="776EB295"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color w:val="163060"/>
          <w:sz w:val="28"/>
          <w:szCs w:val="28"/>
        </w:rPr>
        <w:t>Furman University</w:t>
      </w:r>
    </w:p>
    <w:p w14:paraId="6CC60213" w14:textId="77777777" w:rsidR="00012C1B" w:rsidRPr="00012C1B" w:rsidRDefault="00012C1B" w:rsidP="00012C1B">
      <w:pPr>
        <w:shd w:val="clear" w:color="auto" w:fill="FFFFFF"/>
        <w:ind w:left="720"/>
        <w:rPr>
          <w:rFonts w:ascii="Garamond" w:eastAsia="Times New Roman" w:hAnsi="Garamond" w:cs="Times New Roman"/>
        </w:rPr>
      </w:pPr>
      <w:r w:rsidRPr="00012C1B">
        <w:rPr>
          <w:rFonts w:ascii="Garamond" w:eastAsia="Times New Roman" w:hAnsi="Garamond" w:cs="Times New Roman"/>
        </w:rPr>
        <w:t> </w:t>
      </w:r>
    </w:p>
    <w:p w14:paraId="034A8E2A" w14:textId="77777777" w:rsidR="00012C1B" w:rsidRPr="00012C1B" w:rsidRDefault="00012C1B" w:rsidP="00012C1B">
      <w:pPr>
        <w:shd w:val="clear" w:color="auto" w:fill="FFFFFF"/>
        <w:rPr>
          <w:rFonts w:ascii="Garamond" w:eastAsia="Times New Roman" w:hAnsi="Garamond" w:cs="Times New Roman"/>
        </w:rPr>
      </w:pPr>
      <w:r w:rsidRPr="00012C1B">
        <w:rPr>
          <w:rFonts w:ascii="Garamond" w:eastAsia="Times New Roman" w:hAnsi="Garamond" w:cs="Times New Roman"/>
        </w:rPr>
        <w:t> </w:t>
      </w:r>
    </w:p>
    <w:p w14:paraId="5E3C8D17"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53FD8F29" w14:textId="77777777" w:rsidR="00012C1B" w:rsidRPr="00012C1B" w:rsidRDefault="00012C1B" w:rsidP="00012C1B">
      <w:pPr>
        <w:spacing w:before="300" w:after="160"/>
        <w:outlineLvl w:val="1"/>
        <w:rPr>
          <w:rFonts w:ascii="Garamond" w:eastAsia="Times New Roman" w:hAnsi="Garamond" w:cs="Times New Roman"/>
          <w:b/>
          <w:bCs/>
          <w:sz w:val="36"/>
          <w:szCs w:val="36"/>
        </w:rPr>
      </w:pPr>
      <w:r w:rsidRPr="00012C1B">
        <w:rPr>
          <w:rFonts w:ascii="Garamond" w:eastAsia="Times New Roman" w:hAnsi="Garamond" w:cs="Times New Roman"/>
          <w:color w:val="163060"/>
          <w:sz w:val="40"/>
          <w:szCs w:val="40"/>
        </w:rPr>
        <w:t>Bylaws</w:t>
      </w:r>
    </w:p>
    <w:p w14:paraId="416A06A4"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b/>
          <w:bCs/>
          <w:color w:val="163060"/>
          <w:sz w:val="28"/>
          <w:szCs w:val="28"/>
        </w:rPr>
        <w:t> BYLAWS OF THE SOCIETY FOR</w:t>
      </w:r>
    </w:p>
    <w:p w14:paraId="1B8D86E4"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b/>
          <w:bCs/>
          <w:color w:val="163060"/>
          <w:sz w:val="28"/>
          <w:szCs w:val="28"/>
        </w:rPr>
        <w:t>INTERDISCIPLINARY FRENCH SEVENTEENTH-CENTURY STUDIES</w:t>
      </w:r>
    </w:p>
    <w:p w14:paraId="1F7C8CFB"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b/>
          <w:bCs/>
          <w:color w:val="163060"/>
          <w:sz w:val="28"/>
          <w:szCs w:val="28"/>
        </w:rPr>
        <w:t>PURSUANT TO 13 B M.R.S.A. §101, ET SEQ.</w:t>
      </w:r>
    </w:p>
    <w:p w14:paraId="08393CD9"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16E00523"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b/>
          <w:bCs/>
          <w:color w:val="163060"/>
          <w:sz w:val="28"/>
          <w:szCs w:val="28"/>
        </w:rPr>
        <w:t>FOR ALL PURPOSE HEREUNDER, THE BYLAWS SHALL BE REFERRED TO AS THE “CONSTITUTION”.</w:t>
      </w:r>
    </w:p>
    <w:p w14:paraId="2B31BAF3"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2DDDCEB3"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Revised November 7, 2020</w:t>
      </w:r>
    </w:p>
    <w:p w14:paraId="314F7B60"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513CDD41"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I: Name and Logo</w:t>
      </w:r>
    </w:p>
    <w:p w14:paraId="2700D61D"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6622E5A8" w14:textId="77777777" w:rsidR="00012C1B" w:rsidRPr="00012C1B" w:rsidRDefault="00012C1B" w:rsidP="00012C1B">
      <w:pPr>
        <w:numPr>
          <w:ilvl w:val="0"/>
          <w:numId w:val="1"/>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The name of the Maine nonprofit corporation as filed with the Secretary of State for Maine is SE17 which stands for “The Society for Interdisciplinary French Seventeenth-Century Studies” (the “Society”) in English, and the “Société </w:t>
      </w:r>
      <w:proofErr w:type="spellStart"/>
      <w:r w:rsidRPr="00012C1B">
        <w:rPr>
          <w:rFonts w:ascii="Garamond" w:eastAsia="Times New Roman" w:hAnsi="Garamond" w:cs="Times New Roman"/>
          <w:color w:val="163060"/>
          <w:sz w:val="28"/>
          <w:szCs w:val="28"/>
        </w:rPr>
        <w:t>d’études</w:t>
      </w:r>
      <w:proofErr w:type="spellEnd"/>
      <w:r w:rsidRPr="00012C1B">
        <w:rPr>
          <w:rFonts w:ascii="Garamond" w:eastAsia="Times New Roman" w:hAnsi="Garamond" w:cs="Times New Roman"/>
          <w:color w:val="163060"/>
          <w:sz w:val="28"/>
          <w:szCs w:val="28"/>
        </w:rPr>
        <w:t xml:space="preserve"> </w:t>
      </w:r>
      <w:proofErr w:type="spellStart"/>
      <w:r w:rsidRPr="00012C1B">
        <w:rPr>
          <w:rFonts w:ascii="Garamond" w:eastAsia="Times New Roman" w:hAnsi="Garamond" w:cs="Times New Roman"/>
          <w:color w:val="163060"/>
          <w:sz w:val="28"/>
          <w:szCs w:val="28"/>
        </w:rPr>
        <w:t>pluridisciplinaires</w:t>
      </w:r>
      <w:proofErr w:type="spellEnd"/>
      <w:r w:rsidRPr="00012C1B">
        <w:rPr>
          <w:rFonts w:ascii="Garamond" w:eastAsia="Times New Roman" w:hAnsi="Garamond" w:cs="Times New Roman"/>
          <w:color w:val="163060"/>
          <w:sz w:val="28"/>
          <w:szCs w:val="28"/>
        </w:rPr>
        <w:t xml:space="preserve"> du dix-</w:t>
      </w:r>
      <w:proofErr w:type="spellStart"/>
      <w:r w:rsidRPr="00012C1B">
        <w:rPr>
          <w:rFonts w:ascii="Garamond" w:eastAsia="Times New Roman" w:hAnsi="Garamond" w:cs="Times New Roman"/>
          <w:color w:val="163060"/>
          <w:sz w:val="28"/>
          <w:szCs w:val="28"/>
        </w:rPr>
        <w:t>septième</w:t>
      </w:r>
      <w:proofErr w:type="spellEnd"/>
      <w:r w:rsidRPr="00012C1B">
        <w:rPr>
          <w:rFonts w:ascii="Garamond" w:eastAsia="Times New Roman" w:hAnsi="Garamond" w:cs="Times New Roman"/>
          <w:color w:val="163060"/>
          <w:sz w:val="28"/>
          <w:szCs w:val="28"/>
        </w:rPr>
        <w:t xml:space="preserve"> siècle </w:t>
      </w:r>
      <w:proofErr w:type="spellStart"/>
      <w:r w:rsidRPr="00012C1B">
        <w:rPr>
          <w:rFonts w:ascii="Garamond" w:eastAsia="Times New Roman" w:hAnsi="Garamond" w:cs="Times New Roman"/>
          <w:color w:val="163060"/>
          <w:sz w:val="28"/>
          <w:szCs w:val="28"/>
        </w:rPr>
        <w:t>français</w:t>
      </w:r>
      <w:proofErr w:type="spellEnd"/>
      <w:r w:rsidRPr="00012C1B">
        <w:rPr>
          <w:rFonts w:ascii="Garamond" w:eastAsia="Times New Roman" w:hAnsi="Garamond" w:cs="Times New Roman"/>
          <w:color w:val="163060"/>
          <w:sz w:val="28"/>
          <w:szCs w:val="28"/>
        </w:rPr>
        <w:t>” in French. The SE17 logo is visible at the top of this page. It is the only legitimate SE17 logo. It must be used to identify any and all official SE17 documents, whether in black and white or in color.</w:t>
      </w:r>
    </w:p>
    <w:p w14:paraId="63D1570A" w14:textId="77777777" w:rsidR="00012C1B" w:rsidRPr="00012C1B" w:rsidRDefault="00012C1B" w:rsidP="00012C1B">
      <w:pPr>
        <w:numPr>
          <w:ilvl w:val="0"/>
          <w:numId w:val="1"/>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Neither the above name or logo may be used by any person or organization in an activity not officially connected to or officially authorized by SE17.</w:t>
      </w:r>
    </w:p>
    <w:p w14:paraId="710501E2"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6826207A"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II: Purposes</w:t>
      </w:r>
    </w:p>
    <w:p w14:paraId="19B8DF62"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645E7E21" w14:textId="77777777" w:rsidR="00012C1B" w:rsidRPr="00012C1B" w:rsidRDefault="00012C1B" w:rsidP="00012C1B">
      <w:pPr>
        <w:numPr>
          <w:ilvl w:val="0"/>
          <w:numId w:val="2"/>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purposes of SE17 shall be solely the disinterested promotion and advancement of scholarship in and teaching of all aspects of French seventeenth-century studies.</w:t>
      </w:r>
    </w:p>
    <w:p w14:paraId="1819956D" w14:textId="77777777" w:rsidR="00012C1B" w:rsidRPr="00012C1B" w:rsidRDefault="00012C1B" w:rsidP="00012C1B">
      <w:pPr>
        <w:numPr>
          <w:ilvl w:val="0"/>
          <w:numId w:val="2"/>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purposes of SE17 shall extend to any and all countries, states or territories, where there may be persons residing who are interested in the purposes of SE17.</w:t>
      </w:r>
    </w:p>
    <w:p w14:paraId="28863D7B" w14:textId="77777777" w:rsidR="00012C1B" w:rsidRPr="00012C1B" w:rsidRDefault="00012C1B" w:rsidP="00012C1B">
      <w:pPr>
        <w:numPr>
          <w:ilvl w:val="0"/>
          <w:numId w:val="2"/>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In the course of its activities, neither SE17, nor any of its individual members acting in duly authorized fashion on behalf of SE17, may engage in other ventures, particularly for-profit commercial enterprise, or use for such purposes the Society's name, or the SE17 logo, in whole or in part, unless duly authorized to do so by the Board of Directors of SE17, as defined in Article III of the Bylaws.</w:t>
      </w:r>
    </w:p>
    <w:p w14:paraId="40F16B14" w14:textId="77777777" w:rsidR="00012C1B" w:rsidRPr="00012C1B" w:rsidRDefault="00012C1B" w:rsidP="00012C1B">
      <w:pPr>
        <w:numPr>
          <w:ilvl w:val="0"/>
          <w:numId w:val="2"/>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Neither SE17, nor its individual members acting in authorized fashion on behalf of SE17, may, in the course of its activities, promote or endorse a particular political candidate, political point of view, or political agenda, whether American or foreign.</w:t>
      </w:r>
    </w:p>
    <w:p w14:paraId="08A5BE7A"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59890A7D"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III: Membership</w:t>
      </w:r>
    </w:p>
    <w:p w14:paraId="796431C7"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13D68D5E" w14:textId="77777777" w:rsidR="00012C1B" w:rsidRPr="00012C1B" w:rsidRDefault="00012C1B" w:rsidP="00012C1B">
      <w:pPr>
        <w:numPr>
          <w:ilvl w:val="0"/>
          <w:numId w:val="3"/>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Membership in SE17 shall be open to all persons regardless of age, color, creed, marital status, national origin, nationality, physical disability, political opinions or affiliations, race, sex, or sexual orientation, as consistent with the purposes and activities of SE17.  Membership shall be granted by the Board of Directors upon application pursuant to the procedures established by the Board.</w:t>
      </w:r>
    </w:p>
    <w:p w14:paraId="28F9FC2F" w14:textId="77777777" w:rsidR="00012C1B" w:rsidRPr="00012C1B" w:rsidRDefault="00012C1B" w:rsidP="00012C1B">
      <w:pPr>
        <w:numPr>
          <w:ilvl w:val="0"/>
          <w:numId w:val="3"/>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An individual's membership in SE17 may be terminated by the member upon notification of the Board of Directors of SE17, or by SE17 upon decision of its Board of Directors, with or without cause, and due notification of the individual member.</w:t>
      </w:r>
    </w:p>
    <w:p w14:paraId="194C50EC" w14:textId="77777777" w:rsidR="00012C1B" w:rsidRPr="00012C1B" w:rsidRDefault="00012C1B" w:rsidP="00012C1B">
      <w:pPr>
        <w:numPr>
          <w:ilvl w:val="0"/>
          <w:numId w:val="3"/>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Members shall pay annual membership dues for each calendar year, the amount of which to be determined by the SE17 membership at an annual meeting by majority vote of members present. Membership includes annual subscription to the Society’s journal: </w:t>
      </w:r>
      <w:r w:rsidRPr="00012C1B">
        <w:rPr>
          <w:rFonts w:ascii="Garamond" w:eastAsia="Times New Roman" w:hAnsi="Garamond" w:cs="Times New Roman"/>
          <w:i/>
          <w:iCs/>
          <w:color w:val="163060"/>
          <w:sz w:val="28"/>
          <w:szCs w:val="28"/>
        </w:rPr>
        <w:t>Cahiers du dix-</w:t>
      </w:r>
      <w:proofErr w:type="spellStart"/>
      <w:r w:rsidRPr="00012C1B">
        <w:rPr>
          <w:rFonts w:ascii="Garamond" w:eastAsia="Times New Roman" w:hAnsi="Garamond" w:cs="Times New Roman"/>
          <w:i/>
          <w:iCs/>
          <w:color w:val="163060"/>
          <w:sz w:val="28"/>
          <w:szCs w:val="28"/>
        </w:rPr>
        <w:t>septième</w:t>
      </w:r>
      <w:proofErr w:type="spellEnd"/>
      <w:r w:rsidRPr="00012C1B">
        <w:rPr>
          <w:rFonts w:ascii="Garamond" w:eastAsia="Times New Roman" w:hAnsi="Garamond" w:cs="Times New Roman"/>
          <w:i/>
          <w:iCs/>
          <w:color w:val="163060"/>
          <w:sz w:val="28"/>
          <w:szCs w:val="28"/>
        </w:rPr>
        <w:t>: An Interdisciplinary Journal</w:t>
      </w:r>
      <w:r w:rsidRPr="00012C1B">
        <w:rPr>
          <w:rFonts w:ascii="Garamond" w:eastAsia="Times New Roman" w:hAnsi="Garamond" w:cs="Times New Roman"/>
          <w:color w:val="163060"/>
          <w:sz w:val="28"/>
          <w:szCs w:val="28"/>
        </w:rPr>
        <w:t>, a publication which is the sole property of the SE17.</w:t>
      </w:r>
    </w:p>
    <w:p w14:paraId="1FC929E7"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0359574B"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IV: Activities of SE17</w:t>
      </w:r>
    </w:p>
    <w:p w14:paraId="15767998"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7D23692C" w14:textId="77777777" w:rsidR="00012C1B" w:rsidRPr="00012C1B" w:rsidRDefault="00012C1B" w:rsidP="00012C1B">
      <w:pPr>
        <w:numPr>
          <w:ilvl w:val="0"/>
          <w:numId w:val="4"/>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members of SE17 shall meet normally in an Annual Conference, in order to discuss SE17 business, and also to provide individual members with the opportunity to bring before their colleagues the results of their research, consistent with generally accepted standards of scholarship. The latter activity shall take place within regularly organized sessions.</w:t>
      </w:r>
    </w:p>
    <w:p w14:paraId="5286BC96" w14:textId="77777777" w:rsidR="00012C1B" w:rsidRPr="00012C1B" w:rsidRDefault="00012C1B" w:rsidP="00012C1B">
      <w:pPr>
        <w:numPr>
          <w:ilvl w:val="0"/>
          <w:numId w:val="4"/>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SE17 shall publish the Society’s journal: </w:t>
      </w:r>
      <w:r w:rsidRPr="00012C1B">
        <w:rPr>
          <w:rFonts w:ascii="Garamond" w:eastAsia="Times New Roman" w:hAnsi="Garamond" w:cs="Times New Roman"/>
          <w:i/>
          <w:iCs/>
          <w:color w:val="163060"/>
          <w:sz w:val="28"/>
          <w:szCs w:val="28"/>
        </w:rPr>
        <w:t>Cahiers du dix-</w:t>
      </w:r>
      <w:proofErr w:type="spellStart"/>
      <w:r w:rsidRPr="00012C1B">
        <w:rPr>
          <w:rFonts w:ascii="Garamond" w:eastAsia="Times New Roman" w:hAnsi="Garamond" w:cs="Times New Roman"/>
          <w:i/>
          <w:iCs/>
          <w:color w:val="163060"/>
          <w:sz w:val="28"/>
          <w:szCs w:val="28"/>
        </w:rPr>
        <w:t>septième</w:t>
      </w:r>
      <w:proofErr w:type="spellEnd"/>
      <w:r w:rsidRPr="00012C1B">
        <w:rPr>
          <w:rFonts w:ascii="Garamond" w:eastAsia="Times New Roman" w:hAnsi="Garamond" w:cs="Times New Roman"/>
          <w:i/>
          <w:iCs/>
          <w:color w:val="163060"/>
          <w:sz w:val="28"/>
          <w:szCs w:val="28"/>
        </w:rPr>
        <w:t>: An Interdisciplinary Journal</w:t>
      </w:r>
      <w:r w:rsidRPr="00012C1B">
        <w:rPr>
          <w:rFonts w:ascii="Garamond" w:eastAsia="Times New Roman" w:hAnsi="Garamond" w:cs="Times New Roman"/>
          <w:color w:val="163060"/>
          <w:sz w:val="28"/>
          <w:szCs w:val="28"/>
        </w:rPr>
        <w:t xml:space="preserve">. All articles published in the </w:t>
      </w:r>
      <w:r w:rsidRPr="00012C1B">
        <w:rPr>
          <w:rFonts w:ascii="Garamond" w:eastAsia="Times New Roman" w:hAnsi="Garamond" w:cs="Times New Roman"/>
          <w:i/>
          <w:iCs/>
          <w:color w:val="163060"/>
          <w:sz w:val="28"/>
          <w:szCs w:val="28"/>
        </w:rPr>
        <w:t>Cahiers</w:t>
      </w:r>
      <w:r w:rsidRPr="00012C1B">
        <w:rPr>
          <w:rFonts w:ascii="Garamond" w:eastAsia="Times New Roman" w:hAnsi="Garamond" w:cs="Times New Roman"/>
          <w:color w:val="163060"/>
          <w:sz w:val="28"/>
          <w:szCs w:val="28"/>
        </w:rPr>
        <w:t xml:space="preserve"> will be double-blind peer-reviewed, with the exception of special issues, which will be peer-reviewed.</w:t>
      </w:r>
    </w:p>
    <w:p w14:paraId="15FDAD39" w14:textId="77777777" w:rsidR="00012C1B" w:rsidRPr="00012C1B" w:rsidRDefault="00012C1B" w:rsidP="00012C1B">
      <w:pPr>
        <w:numPr>
          <w:ilvl w:val="0"/>
          <w:numId w:val="4"/>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SE17 shall make annual awards for outstanding work in the field of seventeenth-century French studies.</w:t>
      </w:r>
    </w:p>
    <w:p w14:paraId="3FEB184F"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391055CF"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V: Registered Office</w:t>
      </w:r>
    </w:p>
    <w:p w14:paraId="42B8A823"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41171A8F"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The corporation’s registered office and primary place of business shall be on the campus of its Executive Director, c/o Katherine Dauge-Roth, Department of Romance Languages and Literatures, Bowdoin College, 7800 College Station, Brunswick, Maine 04011.</w:t>
      </w:r>
    </w:p>
    <w:p w14:paraId="2E62C39B"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1DF6DB1E"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The Annual Conference shall be held in a location approved by the SE17 membership, or by the Board of Directors on behalf of said membership.</w:t>
      </w:r>
    </w:p>
    <w:p w14:paraId="2240BE28"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28CBB71C"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VI: Languages</w:t>
      </w:r>
    </w:p>
    <w:p w14:paraId="2A3C77F4"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6CD289C1"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English or French shall be the sole languages used at the Annual Conference, whether in the conduct of official SE17 business, or in the public reading of or responding to research papers.</w:t>
      </w:r>
    </w:p>
    <w:p w14:paraId="63FBA134"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47643DE7"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VII: Annual Conference</w:t>
      </w:r>
    </w:p>
    <w:p w14:paraId="6BA7A3FA"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194A9E97"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Six plenary session topics and one pedagogy session are nominated at the annual Business Meeting and chosen by the membership at large through on-line voting following the conference. The President retains the right to make final decisions as to the retention of session topics and the inclusion of alternative session formats such as workshops and roundtables.</w:t>
      </w:r>
    </w:p>
    <w:p w14:paraId="5EB2C891"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President will set the conference schedule and determine the number of slots available to plenary session chairs as well as determine the feasibility and number of alternative format sessions prior to the final selection process. The President will follow the conference organization guidelines in consultation with the executive committee.</w:t>
      </w:r>
    </w:p>
    <w:p w14:paraId="0BC547FB"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Anyone wishing to attend the Annual Conference must be, or become, a member of SE17 at the Conference and pay the required registration fee and membership dues if not already paid for the current calendar year, whether or not reading a paper, responding, or chairing a session. Invited plenary speakers and the faculty, staff, and students of the host institution may, at the discretion of the current President, be exempted from paying membership dues and the registration fee. The host institution is defined as the institution of higher learning contributing significantly in cash or in kind to the support of the Annual Conference being held on or near its campus. Other exceptions regarding the payment of the conference registration fee may be made at the discretion of the President.</w:t>
      </w:r>
    </w:p>
    <w:p w14:paraId="2A6731D7"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Subject to the conditions listed in the paragraphs below, all members attending the Annual Conference shall be permitted a maximum of two separate scholarly (not administrative) activities in any one Annual Conference. Scholarly activities consist of reading papers, participating in workshops or roundtables, chairing academic sessions, and/or acting as a respondent in academic sessions.</w:t>
      </w:r>
    </w:p>
    <w:p w14:paraId="53EFCDC9"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President appoints session chairs.</w:t>
      </w:r>
    </w:p>
    <w:p w14:paraId="31B67934"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 one may submit for consideration or read more than one paper in the plenary sessions at the Annual Conference. Session chairs reserve the right to forward proposals to another session chair for consideration if they feel the submission is more appropriate for that panel.</w:t>
      </w:r>
    </w:p>
    <w:p w14:paraId="405489EC"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 one may both read a paper and act as a discussant or respondent in the same academic session.</w:t>
      </w:r>
    </w:p>
    <w:p w14:paraId="063BE7E6"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 one may chair an academic session and also read a paper in the same session.</w:t>
      </w:r>
    </w:p>
    <w:p w14:paraId="433C08C5" w14:textId="77777777" w:rsidR="00012C1B" w:rsidRPr="00012C1B" w:rsidRDefault="00012C1B" w:rsidP="00012C1B">
      <w:pPr>
        <w:numPr>
          <w:ilvl w:val="0"/>
          <w:numId w:val="5"/>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 one may chair an academic session, whether the same or a different one, two years consecutively, unless there are extraordinary circumstances.</w:t>
      </w:r>
    </w:p>
    <w:p w14:paraId="71293977" w14:textId="77777777" w:rsidR="00012C1B" w:rsidRPr="00012C1B" w:rsidRDefault="00012C1B" w:rsidP="00012C1B">
      <w:pPr>
        <w:numPr>
          <w:ilvl w:val="0"/>
          <w:numId w:val="5"/>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Papers may not be read in absentia, unless there are extraordinary circumstances. The current President shall decide, upon petition by the conferee, and in consultation with the chair of the affected session, whether granting permission for a reading in absentia is warranted. In any case, the full conference registration fee must have been paid within the prescribed deadline.</w:t>
      </w:r>
    </w:p>
    <w:p w14:paraId="558E8A82"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586475DE"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VIII: Leadership and Its Election</w:t>
      </w:r>
    </w:p>
    <w:p w14:paraId="210A9AEB"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2EE5F7F9"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The leadership of SE17 shall consist of the Board of Directors, which shall comprise permanent members: the Founder, Executive Director, Secretary, Treasurer, Editor, Website Editor, Awards Committee Chair, Bibliographer, and the Communications Officer and also non-permanent members: the past President, current President, and six members-at-large. The Executive Director chairs the Board of Directors.</w:t>
      </w:r>
    </w:p>
    <w:p w14:paraId="4766D3B0" w14:textId="77777777" w:rsidR="00012C1B" w:rsidRPr="00012C1B" w:rsidRDefault="00012C1B" w:rsidP="00012C1B">
      <w:pPr>
        <w:numPr>
          <w:ilvl w:val="0"/>
          <w:numId w:val="6"/>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Permanent Board of Directors members: the Executive Director, the Secretary, the Treasurer, the Editor, the Website Editor, the Awards Committee Chair, the Bibliographer, and the Communications Officer shall be elected at the Annual Conference Business Meeting, upon nomination, or confirmation, and shall continue in office until replaced by vote of the membership.</w:t>
      </w:r>
    </w:p>
    <w:p w14:paraId="4ED3E4AC" w14:textId="77777777" w:rsidR="00012C1B" w:rsidRPr="00012C1B" w:rsidRDefault="00012C1B" w:rsidP="00012C1B">
      <w:pPr>
        <w:numPr>
          <w:ilvl w:val="0"/>
          <w:numId w:val="6"/>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Non-permanent Board of Directors members: upon nomination and election at the Annual Conference Business Meeting, the current President is chosen and assumes current office for a one-year term. The previous year's President becomes past President and remains a member of the Board of Directors for the following year. The six members-at-large are elected for a period of three years. In order to accomplish staggered terms, the currently serving at-large Board members shall continue to serve their remaining terms and new at-large Board members shall be elected as required to replace those whose terms are expiring. All elected members of the Board of Directors shall begin serving their term upon January 1 of the year following the Business Meeting at which they were elected.</w:t>
      </w:r>
    </w:p>
    <w:p w14:paraId="31F87D3E" w14:textId="77777777" w:rsidR="00012C1B" w:rsidRPr="00012C1B" w:rsidRDefault="00012C1B" w:rsidP="00012C1B">
      <w:pPr>
        <w:numPr>
          <w:ilvl w:val="0"/>
          <w:numId w:val="6"/>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No one may serve in more than one role simultaneously on the Board of Directors.</w:t>
      </w:r>
    </w:p>
    <w:p w14:paraId="24E97670"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2B716208"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37CAA15A"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IX: Definitions and Responsibilities</w:t>
      </w:r>
    </w:p>
    <w:p w14:paraId="739CC85E"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of Members of the Board of Directors and Officers:</w:t>
      </w:r>
    </w:p>
    <w:p w14:paraId="60BFB3B6"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355E26CF"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Founder originally founded the Society in 1982 on the campus of the University of Georgia; as long as he is able, he will continue to assist any other members of the Board of Directors with advice as needed, and participate in the deliberations of the Board of Directors at the Annual Conference.</w:t>
      </w:r>
    </w:p>
    <w:p w14:paraId="780396EE"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current President is elected by the Board of Directors and organizes and chairs the current Annual Conference.</w:t>
      </w:r>
    </w:p>
    <w:p w14:paraId="3CC23075"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past President, who organized and hosted the previous year’s Annual Conference, assists the current President with conference organization.</w:t>
      </w:r>
    </w:p>
    <w:p w14:paraId="00C9C60F"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Executive Director leads and represents the Society, chairs the Board of Directors, carries out the normal business of SE17, maintains the membership database and administrative sections of the website, communicates with the membership, and assists the current President and the rest of the Board of Directors as needed.</w:t>
      </w:r>
    </w:p>
    <w:p w14:paraId="57BFE0D9"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Secretary takes and prepares the minutes, maintains and updates the by-laws,  assists the Executive Director with the preparation of meeting agendas and annual reports, the election of officers, and SE17 correspondence, and assists the current President, and the rest of the Board of Directors as needed.</w:t>
      </w:r>
    </w:p>
    <w:p w14:paraId="7721D5E6"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Treasurer collects membership dues, records dues payments, makes payments to vendors hired by SE17, manages the funds, prepares the annual financial report, and assists the current President and the rest of the Board of Directors as needed.</w:t>
      </w:r>
    </w:p>
    <w:p w14:paraId="6817C187"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The Editor edits and publishes the Society’s journal: </w:t>
      </w:r>
      <w:r w:rsidRPr="00012C1B">
        <w:rPr>
          <w:rFonts w:ascii="Garamond" w:eastAsia="Times New Roman" w:hAnsi="Garamond" w:cs="Times New Roman"/>
          <w:i/>
          <w:iCs/>
          <w:color w:val="163060"/>
          <w:sz w:val="28"/>
          <w:szCs w:val="28"/>
        </w:rPr>
        <w:t>Cahiers du dix-</w:t>
      </w:r>
      <w:proofErr w:type="spellStart"/>
      <w:r w:rsidRPr="00012C1B">
        <w:rPr>
          <w:rFonts w:ascii="Garamond" w:eastAsia="Times New Roman" w:hAnsi="Garamond" w:cs="Times New Roman"/>
          <w:i/>
          <w:iCs/>
          <w:color w:val="163060"/>
          <w:sz w:val="28"/>
          <w:szCs w:val="28"/>
        </w:rPr>
        <w:t>septième</w:t>
      </w:r>
      <w:proofErr w:type="spellEnd"/>
      <w:r w:rsidRPr="00012C1B">
        <w:rPr>
          <w:rFonts w:ascii="Garamond" w:eastAsia="Times New Roman" w:hAnsi="Garamond" w:cs="Times New Roman"/>
          <w:i/>
          <w:iCs/>
          <w:color w:val="163060"/>
          <w:sz w:val="28"/>
          <w:szCs w:val="28"/>
        </w:rPr>
        <w:t>: An Interdisciplinary Journal</w:t>
      </w:r>
      <w:r w:rsidRPr="00012C1B">
        <w:rPr>
          <w:rFonts w:ascii="Garamond" w:eastAsia="Times New Roman" w:hAnsi="Garamond" w:cs="Times New Roman"/>
          <w:color w:val="163060"/>
          <w:sz w:val="28"/>
          <w:szCs w:val="28"/>
        </w:rPr>
        <w:t xml:space="preserve"> and carries out other duties consistent with this function.</w:t>
      </w:r>
    </w:p>
    <w:p w14:paraId="72684450"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The Website Editor publishes and maintains the joint SE17-NASSCFL Website, with the exception of the administrative and the </w:t>
      </w:r>
      <w:r w:rsidRPr="00012C1B">
        <w:rPr>
          <w:rFonts w:ascii="Garamond" w:eastAsia="Times New Roman" w:hAnsi="Garamond" w:cs="Times New Roman"/>
          <w:i/>
          <w:iCs/>
          <w:color w:val="163060"/>
          <w:sz w:val="28"/>
          <w:szCs w:val="28"/>
        </w:rPr>
        <w:t xml:space="preserve">Cahiers du </w:t>
      </w:r>
      <w:proofErr w:type="spellStart"/>
      <w:r w:rsidRPr="00012C1B">
        <w:rPr>
          <w:rFonts w:ascii="Garamond" w:eastAsia="Times New Roman" w:hAnsi="Garamond" w:cs="Times New Roman"/>
          <w:i/>
          <w:iCs/>
          <w:color w:val="163060"/>
          <w:sz w:val="28"/>
          <w:szCs w:val="28"/>
        </w:rPr>
        <w:t>dix-septième:An</w:t>
      </w:r>
      <w:proofErr w:type="spellEnd"/>
      <w:r w:rsidRPr="00012C1B">
        <w:rPr>
          <w:rFonts w:ascii="Garamond" w:eastAsia="Times New Roman" w:hAnsi="Garamond" w:cs="Times New Roman"/>
          <w:i/>
          <w:iCs/>
          <w:color w:val="163060"/>
          <w:sz w:val="28"/>
          <w:szCs w:val="28"/>
        </w:rPr>
        <w:t xml:space="preserve"> Interdisciplinary </w:t>
      </w:r>
      <w:proofErr w:type="spellStart"/>
      <w:r w:rsidRPr="00012C1B">
        <w:rPr>
          <w:rFonts w:ascii="Garamond" w:eastAsia="Times New Roman" w:hAnsi="Garamond" w:cs="Times New Roman"/>
          <w:i/>
          <w:iCs/>
          <w:color w:val="163060"/>
          <w:sz w:val="28"/>
          <w:szCs w:val="28"/>
        </w:rPr>
        <w:t>Journal</w:t>
      </w:r>
      <w:r w:rsidRPr="00012C1B">
        <w:rPr>
          <w:rFonts w:ascii="Garamond" w:eastAsia="Times New Roman" w:hAnsi="Garamond" w:cs="Times New Roman"/>
          <w:color w:val="163060"/>
          <w:sz w:val="28"/>
          <w:szCs w:val="28"/>
        </w:rPr>
        <w:t>sections</w:t>
      </w:r>
      <w:proofErr w:type="spellEnd"/>
      <w:r w:rsidRPr="00012C1B">
        <w:rPr>
          <w:rFonts w:ascii="Garamond" w:eastAsia="Times New Roman" w:hAnsi="Garamond" w:cs="Times New Roman"/>
          <w:color w:val="163060"/>
          <w:sz w:val="28"/>
          <w:szCs w:val="28"/>
        </w:rPr>
        <w:t>.</w:t>
      </w:r>
    </w:p>
    <w:p w14:paraId="25119CF6"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Awards Committee Chair, leads the Prize Committee in gathering, reviewing, and awarding prizes to annual submissions.</w:t>
      </w:r>
    </w:p>
    <w:p w14:paraId="2FBF526C"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Bibliographer compiles a list of the members’ current research and publications, publishes articles highlighting members’ accomplishments, and assists members in publicizing their own work on the SE17 website.</w:t>
      </w:r>
    </w:p>
    <w:p w14:paraId="59C9D6E5"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 xml:space="preserve">The Communications Officer promotes the Society, its website, and the </w:t>
      </w:r>
      <w:r w:rsidRPr="00012C1B">
        <w:rPr>
          <w:rFonts w:ascii="Garamond" w:eastAsia="Times New Roman" w:hAnsi="Garamond" w:cs="Times New Roman"/>
          <w:i/>
          <w:iCs/>
          <w:color w:val="163060"/>
          <w:sz w:val="28"/>
          <w:szCs w:val="28"/>
        </w:rPr>
        <w:t>Cahiers du dix-</w:t>
      </w:r>
      <w:proofErr w:type="spellStart"/>
      <w:r w:rsidRPr="00012C1B">
        <w:rPr>
          <w:rFonts w:ascii="Garamond" w:eastAsia="Times New Roman" w:hAnsi="Garamond" w:cs="Times New Roman"/>
          <w:i/>
          <w:iCs/>
          <w:color w:val="163060"/>
          <w:sz w:val="28"/>
          <w:szCs w:val="28"/>
        </w:rPr>
        <w:t>septième</w:t>
      </w:r>
      <w:proofErr w:type="spellEnd"/>
      <w:r w:rsidRPr="00012C1B">
        <w:rPr>
          <w:rFonts w:ascii="Garamond" w:eastAsia="Times New Roman" w:hAnsi="Garamond" w:cs="Times New Roman"/>
          <w:i/>
          <w:iCs/>
          <w:color w:val="163060"/>
          <w:sz w:val="28"/>
          <w:szCs w:val="28"/>
        </w:rPr>
        <w:t>: An Interdisciplinary Journal</w:t>
      </w:r>
      <w:r w:rsidRPr="00012C1B">
        <w:rPr>
          <w:rFonts w:ascii="Garamond" w:eastAsia="Times New Roman" w:hAnsi="Garamond" w:cs="Times New Roman"/>
          <w:color w:val="163060"/>
          <w:sz w:val="28"/>
          <w:szCs w:val="28"/>
        </w:rPr>
        <w:t xml:space="preserve"> to its membership and beyond, communicates with other scholarly societies, and assists current President and the rest of Board of Directors as needed.</w:t>
      </w:r>
    </w:p>
    <w:p w14:paraId="2F45EAFB" w14:textId="77777777" w:rsidR="00012C1B" w:rsidRPr="00012C1B" w:rsidRDefault="00012C1B" w:rsidP="00012C1B">
      <w:pPr>
        <w:numPr>
          <w:ilvl w:val="0"/>
          <w:numId w:val="7"/>
        </w:numPr>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The members-at-large are elected by the members of SE17. They assist and advise the other members of the Board of Directors as needed, or by conveying to them requests from the general membership.</w:t>
      </w:r>
    </w:p>
    <w:p w14:paraId="28546638" w14:textId="77777777" w:rsidR="00012C1B" w:rsidRPr="00012C1B" w:rsidRDefault="00012C1B" w:rsidP="00012C1B">
      <w:pPr>
        <w:numPr>
          <w:ilvl w:val="0"/>
          <w:numId w:val="7"/>
        </w:numPr>
        <w:spacing w:after="160"/>
        <w:textAlignment w:val="baseline"/>
        <w:rPr>
          <w:rFonts w:ascii="Garamond" w:eastAsia="Times New Roman" w:hAnsi="Garamond" w:cs="Times New Roman"/>
          <w:color w:val="163060"/>
          <w:sz w:val="28"/>
          <w:szCs w:val="28"/>
        </w:rPr>
      </w:pPr>
      <w:r w:rsidRPr="00012C1B">
        <w:rPr>
          <w:rFonts w:ascii="Garamond" w:eastAsia="Times New Roman" w:hAnsi="Garamond" w:cs="Times New Roman"/>
          <w:color w:val="163060"/>
          <w:sz w:val="28"/>
          <w:szCs w:val="28"/>
        </w:rPr>
        <w:t>All such elections shall be solely by the members present during the Business Meeting, with no quorum requirements, voting on the basis of a simple majority.</w:t>
      </w:r>
    </w:p>
    <w:p w14:paraId="48E22D50"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27F12E08"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X: Distribution of Assets upon Dissolution</w:t>
      </w:r>
    </w:p>
    <w:p w14:paraId="6A7FA5D2"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3E095CFB"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Upon dissolution of the corporation, the Board of Directors shall distribute its assets to another organization dedicated to the promotion and advancement of scholarship in and teaching of all aspects of French seventeenth-century studies that is tax exempt under Section 501 (c)(3) of the Internal Revenue Code.</w:t>
      </w:r>
    </w:p>
    <w:p w14:paraId="0840CE0C" w14:textId="77777777" w:rsidR="00012C1B" w:rsidRPr="00012C1B" w:rsidRDefault="00012C1B" w:rsidP="00012C1B">
      <w:pPr>
        <w:spacing w:after="160" w:line="480" w:lineRule="auto"/>
        <w:rPr>
          <w:rFonts w:ascii="Garamond" w:eastAsia="Times New Roman" w:hAnsi="Garamond" w:cs="Times New Roman"/>
        </w:rPr>
      </w:pPr>
      <w:r w:rsidRPr="00012C1B">
        <w:rPr>
          <w:rFonts w:ascii="Garamond" w:eastAsia="Times New Roman" w:hAnsi="Garamond" w:cs="Times New Roman"/>
          <w:color w:val="163060"/>
          <w:sz w:val="28"/>
          <w:szCs w:val="28"/>
        </w:rPr>
        <w:t> </w:t>
      </w:r>
    </w:p>
    <w:p w14:paraId="392D5310"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ARTICLE XI: Amendments to the Bylaws</w:t>
      </w:r>
    </w:p>
    <w:p w14:paraId="1AD86934" w14:textId="77777777" w:rsidR="00012C1B" w:rsidRPr="00012C1B" w:rsidRDefault="00012C1B" w:rsidP="00012C1B">
      <w:pPr>
        <w:spacing w:after="160" w:line="480" w:lineRule="auto"/>
        <w:jc w:val="center"/>
        <w:rPr>
          <w:rFonts w:ascii="Garamond" w:eastAsia="Times New Roman" w:hAnsi="Garamond" w:cs="Times New Roman"/>
        </w:rPr>
      </w:pPr>
      <w:r w:rsidRPr="00012C1B">
        <w:rPr>
          <w:rFonts w:ascii="Garamond" w:eastAsia="Times New Roman" w:hAnsi="Garamond" w:cs="Times New Roman"/>
          <w:color w:val="163060"/>
          <w:sz w:val="28"/>
          <w:szCs w:val="28"/>
        </w:rPr>
        <w:t> </w:t>
      </w:r>
    </w:p>
    <w:p w14:paraId="7B48A1F0" w14:textId="77777777" w:rsidR="00012C1B" w:rsidRPr="00012C1B" w:rsidRDefault="00012C1B" w:rsidP="00012C1B">
      <w:pPr>
        <w:spacing w:line="480" w:lineRule="auto"/>
        <w:rPr>
          <w:rFonts w:ascii="Garamond" w:eastAsia="Times New Roman" w:hAnsi="Garamond" w:cs="Times New Roman"/>
        </w:rPr>
      </w:pPr>
      <w:r w:rsidRPr="00012C1B">
        <w:rPr>
          <w:rFonts w:ascii="Garamond" w:eastAsia="Times New Roman" w:hAnsi="Garamond" w:cs="Times New Roman"/>
          <w:color w:val="163060"/>
          <w:sz w:val="28"/>
          <w:szCs w:val="28"/>
        </w:rPr>
        <w:t>The Bylaws may be amended, in whole or in part, by at least two-thirds of those eligible members of the SE17 voting in person during the Business Meeting at the Society’s Annual Conference. Proxy and/or absentee ballots are not permitted.</w:t>
      </w:r>
    </w:p>
    <w:p w14:paraId="2C798147" w14:textId="77777777" w:rsidR="00012C1B" w:rsidRPr="00012C1B" w:rsidRDefault="00012C1B" w:rsidP="00012C1B">
      <w:pPr>
        <w:rPr>
          <w:rFonts w:ascii="Garamond" w:eastAsia="Times New Roman" w:hAnsi="Garamond" w:cs="Times New Roman"/>
        </w:rPr>
      </w:pPr>
    </w:p>
    <w:bookmarkEnd w:id="0"/>
    <w:p w14:paraId="445F975D" w14:textId="77777777" w:rsidR="00AE3B1C" w:rsidRPr="00012C1B" w:rsidRDefault="00AE3B1C">
      <w:pPr>
        <w:rPr>
          <w:rFonts w:ascii="Garamond" w:hAnsi="Garamond"/>
        </w:rPr>
      </w:pPr>
    </w:p>
    <w:sectPr w:rsidR="00AE3B1C" w:rsidRPr="00012C1B" w:rsidSect="00C9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D89"/>
    <w:multiLevelType w:val="multilevel"/>
    <w:tmpl w:val="CE1C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83398"/>
    <w:multiLevelType w:val="multilevel"/>
    <w:tmpl w:val="2258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30633"/>
    <w:multiLevelType w:val="multilevel"/>
    <w:tmpl w:val="F550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D7BA0"/>
    <w:multiLevelType w:val="multilevel"/>
    <w:tmpl w:val="177C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5E5E41"/>
    <w:multiLevelType w:val="multilevel"/>
    <w:tmpl w:val="3674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46A3B"/>
    <w:multiLevelType w:val="multilevel"/>
    <w:tmpl w:val="4E8A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422B9A"/>
    <w:multiLevelType w:val="multilevel"/>
    <w:tmpl w:val="007C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1B"/>
    <w:rsid w:val="00012C1B"/>
    <w:rsid w:val="00457D70"/>
    <w:rsid w:val="00AE3B1C"/>
    <w:rsid w:val="00C9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8A00E"/>
  <w15:chartTrackingRefBased/>
  <w15:docId w15:val="{91BBC1E7-CDC2-9544-9888-8F69DE64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12C1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C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2C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12C1B"/>
    <w:rPr>
      <w:color w:val="0000FF"/>
      <w:u w:val="single"/>
    </w:rPr>
  </w:style>
  <w:style w:type="character" w:customStyle="1" w:styleId="apple-tab-span">
    <w:name w:val="apple-tab-span"/>
    <w:basedOn w:val="DefaultParagraphFont"/>
    <w:rsid w:val="0001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modernfrance.org/membership" TargetMode="External"/><Relationship Id="rId13" Type="http://schemas.openxmlformats.org/officeDocument/2006/relationships/hyperlink" Target="https://earlymodernfrance.org/contact" TargetMode="External"/><Relationship Id="rId18" Type="http://schemas.openxmlformats.org/officeDocument/2006/relationships/hyperlink" Target="https://www.earlymodernfrance.org/contact" TargetMode="External"/><Relationship Id="rId3" Type="http://schemas.openxmlformats.org/officeDocument/2006/relationships/settings" Target="settings.xml"/><Relationship Id="rId21" Type="http://schemas.openxmlformats.org/officeDocument/2006/relationships/hyperlink" Target="https://earlymodernfrance.org/contact" TargetMode="External"/><Relationship Id="rId7" Type="http://schemas.openxmlformats.org/officeDocument/2006/relationships/hyperlink" Target="https://www.earlymodernfrance.org/files/BYLAWS/Bylaws-NOV-07-2020-2.pdf" TargetMode="External"/><Relationship Id="rId12" Type="http://schemas.openxmlformats.org/officeDocument/2006/relationships/hyperlink" Target="https://earlymodernfrance.org/contact" TargetMode="External"/><Relationship Id="rId17" Type="http://schemas.openxmlformats.org/officeDocument/2006/relationships/hyperlink" Target="https://www.earlymodernfrance.org/conta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arlymodernfrance.org/contact" TargetMode="External"/><Relationship Id="rId20" Type="http://schemas.openxmlformats.org/officeDocument/2006/relationships/hyperlink" Target="https://earlymodernfrance.org/contact" TargetMode="External"/><Relationship Id="rId1" Type="http://schemas.openxmlformats.org/officeDocument/2006/relationships/numbering" Target="numbering.xml"/><Relationship Id="rId6" Type="http://schemas.openxmlformats.org/officeDocument/2006/relationships/hyperlink" Target="https://www.earlymodernfrance.org/governance" TargetMode="External"/><Relationship Id="rId11" Type="http://schemas.openxmlformats.org/officeDocument/2006/relationships/hyperlink" Target="https://earlymodernfrance.org/contact" TargetMode="External"/><Relationship Id="rId24" Type="http://schemas.openxmlformats.org/officeDocument/2006/relationships/fontTable" Target="fontTable.xml"/><Relationship Id="rId5" Type="http://schemas.openxmlformats.org/officeDocument/2006/relationships/hyperlink" Target="https://www.earlymodernfrance.org/governance" TargetMode="External"/><Relationship Id="rId15" Type="http://schemas.openxmlformats.org/officeDocument/2006/relationships/hyperlink" Target="https://www.earlymodernfrance.org/contact" TargetMode="External"/><Relationship Id="rId23" Type="http://schemas.openxmlformats.org/officeDocument/2006/relationships/hyperlink" Target="https://earlymodernfrance.org/contact" TargetMode="External"/><Relationship Id="rId10" Type="http://schemas.openxmlformats.org/officeDocument/2006/relationships/hyperlink" Target="https://www.earlymodernfrance.org/contact" TargetMode="External"/><Relationship Id="rId19" Type="http://schemas.openxmlformats.org/officeDocument/2006/relationships/hyperlink" Target="https://www.earlymodernfrance.org/contact" TargetMode="External"/><Relationship Id="rId4" Type="http://schemas.openxmlformats.org/officeDocument/2006/relationships/webSettings" Target="webSettings.xml"/><Relationship Id="rId9" Type="http://schemas.openxmlformats.org/officeDocument/2006/relationships/hyperlink" Target="https://www.earlymodernfrance.org/contact" TargetMode="External"/><Relationship Id="rId14" Type="http://schemas.openxmlformats.org/officeDocument/2006/relationships/hyperlink" Target="https://earlymodernfrance.org/contact" TargetMode="External"/><Relationship Id="rId22" Type="http://schemas.openxmlformats.org/officeDocument/2006/relationships/hyperlink" Target="https://earlymodernfrance.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Macy</dc:creator>
  <cp:keywords/>
  <dc:description/>
  <cp:lastModifiedBy>Tad Macy</cp:lastModifiedBy>
  <cp:revision>1</cp:revision>
  <dcterms:created xsi:type="dcterms:W3CDTF">2022-08-07T13:45:00Z</dcterms:created>
  <dcterms:modified xsi:type="dcterms:W3CDTF">2022-08-07T13:51:00Z</dcterms:modified>
</cp:coreProperties>
</file>